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D9" w:rsidRPr="00B2743E" w:rsidRDefault="007B7830" w:rsidP="007B7830">
      <w:pPr>
        <w:jc w:val="center"/>
        <w:rPr>
          <w:b/>
          <w:sz w:val="28"/>
          <w:szCs w:val="28"/>
        </w:rPr>
      </w:pPr>
      <w:r w:rsidRPr="00B2743E">
        <w:rPr>
          <w:b/>
          <w:sz w:val="28"/>
          <w:szCs w:val="28"/>
        </w:rPr>
        <w:t>NOTICE OF SPECIAL MEETING</w:t>
      </w:r>
    </w:p>
    <w:p w:rsidR="007B7830" w:rsidRPr="00B2743E" w:rsidRDefault="007B7830" w:rsidP="007B7830">
      <w:pPr>
        <w:jc w:val="center"/>
        <w:rPr>
          <w:b/>
          <w:sz w:val="28"/>
          <w:szCs w:val="28"/>
        </w:rPr>
      </w:pPr>
    </w:p>
    <w:p w:rsidR="007B7830" w:rsidRPr="00B2743E" w:rsidRDefault="007B7830" w:rsidP="007B7830">
      <w:pPr>
        <w:rPr>
          <w:b/>
          <w:sz w:val="28"/>
          <w:szCs w:val="28"/>
        </w:rPr>
      </w:pPr>
      <w:r w:rsidRPr="00B2743E">
        <w:rPr>
          <w:b/>
          <w:sz w:val="28"/>
          <w:szCs w:val="28"/>
        </w:rPr>
        <w:t>COMMITTEE:</w:t>
      </w:r>
      <w:r w:rsidRPr="00B2743E">
        <w:rPr>
          <w:b/>
          <w:sz w:val="28"/>
          <w:szCs w:val="28"/>
        </w:rPr>
        <w:tab/>
        <w:t>Conservation and UW-Extension Education Committee</w:t>
      </w:r>
    </w:p>
    <w:p w:rsidR="007B7830" w:rsidRPr="00B2743E" w:rsidRDefault="007B7830" w:rsidP="007B7830">
      <w:pPr>
        <w:rPr>
          <w:sz w:val="28"/>
          <w:szCs w:val="28"/>
        </w:rPr>
      </w:pPr>
      <w:r w:rsidRPr="00B2743E">
        <w:rPr>
          <w:b/>
          <w:sz w:val="28"/>
          <w:szCs w:val="28"/>
        </w:rPr>
        <w:t>PLACE:</w:t>
      </w:r>
      <w:r w:rsidRPr="00B2743E">
        <w:rPr>
          <w:b/>
          <w:sz w:val="28"/>
          <w:szCs w:val="28"/>
        </w:rPr>
        <w:tab/>
      </w:r>
      <w:r w:rsidRPr="00B2743E">
        <w:rPr>
          <w:b/>
          <w:sz w:val="28"/>
          <w:szCs w:val="28"/>
        </w:rPr>
        <w:tab/>
      </w:r>
      <w:r w:rsidRPr="00B2743E">
        <w:rPr>
          <w:sz w:val="28"/>
          <w:szCs w:val="28"/>
        </w:rPr>
        <w:t>Rhinelander/Oneida County Airport – Lower level</w:t>
      </w:r>
    </w:p>
    <w:p w:rsidR="007B7830" w:rsidRPr="00B2743E" w:rsidRDefault="007B7830" w:rsidP="007B7830">
      <w:pPr>
        <w:rPr>
          <w:b/>
          <w:sz w:val="28"/>
          <w:szCs w:val="28"/>
          <w:u w:val="single"/>
        </w:rPr>
      </w:pPr>
      <w:r w:rsidRPr="00B2743E">
        <w:rPr>
          <w:b/>
          <w:sz w:val="28"/>
          <w:szCs w:val="28"/>
        </w:rPr>
        <w:t>DATE:</w:t>
      </w:r>
      <w:r w:rsidRPr="00B2743E">
        <w:rPr>
          <w:b/>
          <w:sz w:val="28"/>
          <w:szCs w:val="28"/>
        </w:rPr>
        <w:tab/>
      </w:r>
      <w:r w:rsidRPr="00B2743E">
        <w:rPr>
          <w:b/>
          <w:sz w:val="28"/>
          <w:szCs w:val="28"/>
        </w:rPr>
        <w:tab/>
      </w:r>
      <w:r w:rsidRPr="00B2743E">
        <w:rPr>
          <w:b/>
          <w:sz w:val="28"/>
          <w:szCs w:val="28"/>
        </w:rPr>
        <w:tab/>
      </w:r>
      <w:r w:rsidR="00DD0366">
        <w:rPr>
          <w:b/>
          <w:sz w:val="28"/>
          <w:szCs w:val="28"/>
          <w:u w:val="single"/>
        </w:rPr>
        <w:t>Thursday</w:t>
      </w:r>
      <w:r w:rsidRPr="00B2743E">
        <w:rPr>
          <w:b/>
          <w:sz w:val="28"/>
          <w:szCs w:val="28"/>
          <w:u w:val="single"/>
        </w:rPr>
        <w:t xml:space="preserve">, </w:t>
      </w:r>
      <w:r w:rsidR="00DD0366">
        <w:rPr>
          <w:b/>
          <w:sz w:val="28"/>
          <w:szCs w:val="28"/>
          <w:u w:val="single"/>
        </w:rPr>
        <w:t>August 17</w:t>
      </w:r>
      <w:r w:rsidRPr="00B2743E">
        <w:rPr>
          <w:b/>
          <w:sz w:val="28"/>
          <w:szCs w:val="28"/>
          <w:u w:val="single"/>
        </w:rPr>
        <w:t>, 2017</w:t>
      </w:r>
      <w:r w:rsidRPr="00B2743E">
        <w:rPr>
          <w:b/>
          <w:sz w:val="28"/>
          <w:szCs w:val="28"/>
        </w:rPr>
        <w:tab/>
      </w:r>
      <w:r w:rsidRPr="00B2743E">
        <w:rPr>
          <w:b/>
          <w:sz w:val="28"/>
          <w:szCs w:val="28"/>
          <w:u w:val="single"/>
        </w:rPr>
        <w:t xml:space="preserve">Time:  </w:t>
      </w:r>
      <w:r w:rsidR="006B49DA">
        <w:rPr>
          <w:b/>
          <w:sz w:val="28"/>
          <w:szCs w:val="28"/>
          <w:u w:val="single"/>
        </w:rPr>
        <w:t>10</w:t>
      </w:r>
      <w:r w:rsidRPr="00B2743E">
        <w:rPr>
          <w:b/>
          <w:sz w:val="28"/>
          <w:szCs w:val="28"/>
          <w:u w:val="single"/>
        </w:rPr>
        <w:t>:</w:t>
      </w:r>
      <w:r w:rsidR="006B49DA">
        <w:rPr>
          <w:b/>
          <w:sz w:val="28"/>
          <w:szCs w:val="28"/>
          <w:u w:val="single"/>
        </w:rPr>
        <w:t>0</w:t>
      </w:r>
      <w:r w:rsidRPr="00B2743E">
        <w:rPr>
          <w:b/>
          <w:sz w:val="28"/>
          <w:szCs w:val="28"/>
          <w:u w:val="single"/>
        </w:rPr>
        <w:t>0 a.m.</w:t>
      </w:r>
    </w:p>
    <w:p w:rsidR="007B7830" w:rsidRPr="00B2743E" w:rsidRDefault="007B7830" w:rsidP="007B7830">
      <w:pPr>
        <w:rPr>
          <w:b/>
          <w:i/>
          <w:sz w:val="28"/>
          <w:szCs w:val="28"/>
        </w:rPr>
      </w:pPr>
      <w:r w:rsidRPr="00B2743E">
        <w:rPr>
          <w:b/>
          <w:sz w:val="28"/>
          <w:szCs w:val="28"/>
        </w:rPr>
        <w:tab/>
      </w:r>
      <w:r w:rsidRPr="00B2743E">
        <w:rPr>
          <w:b/>
          <w:sz w:val="28"/>
          <w:szCs w:val="28"/>
        </w:rPr>
        <w:tab/>
      </w:r>
      <w:r w:rsidRPr="00B2743E">
        <w:rPr>
          <w:b/>
          <w:sz w:val="28"/>
          <w:szCs w:val="28"/>
        </w:rPr>
        <w:tab/>
        <w:t xml:space="preserve">Note: </w:t>
      </w:r>
      <w:r w:rsidRPr="00B2743E">
        <w:rPr>
          <w:b/>
          <w:i/>
          <w:sz w:val="28"/>
          <w:szCs w:val="28"/>
        </w:rPr>
        <w:t>All agenda items assumed to be discussion</w:t>
      </w:r>
      <w:r w:rsidR="00715E0C">
        <w:rPr>
          <w:b/>
          <w:i/>
          <w:sz w:val="28"/>
          <w:szCs w:val="28"/>
        </w:rPr>
        <w:t>/decision</w:t>
      </w:r>
      <w:bookmarkStart w:id="0" w:name="_GoBack"/>
      <w:bookmarkEnd w:id="0"/>
      <w:r w:rsidRPr="00B2743E">
        <w:rPr>
          <w:b/>
          <w:i/>
          <w:sz w:val="28"/>
          <w:szCs w:val="28"/>
        </w:rPr>
        <w:t xml:space="preserve"> items</w:t>
      </w:r>
    </w:p>
    <w:p w:rsidR="007B7830" w:rsidRPr="00B2743E" w:rsidRDefault="007B7830" w:rsidP="007B7830">
      <w:pPr>
        <w:rPr>
          <w:b/>
          <w:i/>
          <w:sz w:val="28"/>
          <w:szCs w:val="28"/>
        </w:rPr>
      </w:pPr>
    </w:p>
    <w:p w:rsidR="007B7830" w:rsidRPr="00B2743E" w:rsidRDefault="007B7830" w:rsidP="007B7830">
      <w:pPr>
        <w:pStyle w:val="ListParagraph"/>
        <w:numPr>
          <w:ilvl w:val="0"/>
          <w:numId w:val="1"/>
        </w:numPr>
        <w:rPr>
          <w:sz w:val="28"/>
          <w:szCs w:val="28"/>
        </w:rPr>
      </w:pPr>
      <w:r w:rsidRPr="00B2743E">
        <w:rPr>
          <w:sz w:val="28"/>
          <w:szCs w:val="28"/>
        </w:rPr>
        <w:t>Call to Order and Chairperson’s announcements.</w:t>
      </w:r>
    </w:p>
    <w:p w:rsidR="007B7830" w:rsidRPr="00B2743E" w:rsidRDefault="007B7830" w:rsidP="007B7830">
      <w:pPr>
        <w:pStyle w:val="ListParagraph"/>
        <w:numPr>
          <w:ilvl w:val="0"/>
          <w:numId w:val="1"/>
        </w:numPr>
        <w:rPr>
          <w:sz w:val="28"/>
          <w:szCs w:val="28"/>
        </w:rPr>
      </w:pPr>
      <w:r w:rsidRPr="00B2743E">
        <w:rPr>
          <w:sz w:val="28"/>
          <w:szCs w:val="28"/>
        </w:rPr>
        <w:t>Approve agenda for today’s meeting (order of agenda items at discretion of Chair).</w:t>
      </w:r>
    </w:p>
    <w:p w:rsidR="007B7830" w:rsidRPr="00B2743E" w:rsidRDefault="00CE05F7" w:rsidP="007B7830">
      <w:pPr>
        <w:pStyle w:val="ListParagraph"/>
        <w:numPr>
          <w:ilvl w:val="0"/>
          <w:numId w:val="1"/>
        </w:numPr>
        <w:rPr>
          <w:sz w:val="28"/>
          <w:szCs w:val="28"/>
        </w:rPr>
      </w:pPr>
      <w:r>
        <w:rPr>
          <w:sz w:val="28"/>
          <w:szCs w:val="28"/>
        </w:rPr>
        <w:t>Discuss</w:t>
      </w:r>
      <w:r w:rsidR="006B49DA">
        <w:rPr>
          <w:sz w:val="28"/>
          <w:szCs w:val="28"/>
        </w:rPr>
        <w:t xml:space="preserve"> budget</w:t>
      </w:r>
      <w:r>
        <w:rPr>
          <w:sz w:val="28"/>
          <w:szCs w:val="28"/>
        </w:rPr>
        <w:t>s</w:t>
      </w:r>
      <w:r w:rsidR="006B49DA">
        <w:rPr>
          <w:sz w:val="28"/>
          <w:szCs w:val="28"/>
        </w:rPr>
        <w:t xml:space="preserve"> for UW-Extension and the Oneida County Fair</w:t>
      </w:r>
    </w:p>
    <w:p w:rsidR="007B7830" w:rsidRPr="00B2743E" w:rsidRDefault="007B7830" w:rsidP="007B7830">
      <w:pPr>
        <w:pStyle w:val="ListParagraph"/>
        <w:numPr>
          <w:ilvl w:val="0"/>
          <w:numId w:val="1"/>
        </w:numPr>
        <w:rPr>
          <w:sz w:val="28"/>
          <w:szCs w:val="28"/>
        </w:rPr>
      </w:pPr>
      <w:r w:rsidRPr="00B2743E">
        <w:rPr>
          <w:sz w:val="28"/>
          <w:szCs w:val="28"/>
        </w:rPr>
        <w:t>Public comment.</w:t>
      </w:r>
    </w:p>
    <w:p w:rsidR="007B7830" w:rsidRPr="00B2743E" w:rsidRDefault="007B7830" w:rsidP="007B7830">
      <w:pPr>
        <w:pStyle w:val="ListParagraph"/>
        <w:numPr>
          <w:ilvl w:val="0"/>
          <w:numId w:val="1"/>
        </w:numPr>
        <w:rPr>
          <w:sz w:val="28"/>
          <w:szCs w:val="28"/>
        </w:rPr>
      </w:pPr>
      <w:r w:rsidRPr="00B2743E">
        <w:rPr>
          <w:sz w:val="28"/>
          <w:szCs w:val="28"/>
        </w:rPr>
        <w:t>Adjournment.</w:t>
      </w:r>
    </w:p>
    <w:p w:rsidR="007B7830" w:rsidRPr="00B2743E" w:rsidRDefault="007B7830" w:rsidP="007B7830">
      <w:pPr>
        <w:rPr>
          <w:sz w:val="28"/>
          <w:szCs w:val="28"/>
        </w:rPr>
      </w:pPr>
    </w:p>
    <w:p w:rsidR="007B7830" w:rsidRDefault="007B7830" w:rsidP="007B7830">
      <w:pPr>
        <w:rPr>
          <w:sz w:val="24"/>
          <w:szCs w:val="24"/>
        </w:rPr>
      </w:pPr>
    </w:p>
    <w:p w:rsidR="007B7830" w:rsidRDefault="007B7830" w:rsidP="007B7830">
      <w:pPr>
        <w:rPr>
          <w:sz w:val="24"/>
          <w:szCs w:val="24"/>
        </w:rPr>
      </w:pPr>
    </w:p>
    <w:p w:rsidR="007B7830" w:rsidRDefault="007B7830" w:rsidP="007B7830">
      <w:pPr>
        <w:rPr>
          <w:sz w:val="24"/>
          <w:szCs w:val="24"/>
        </w:rPr>
      </w:pPr>
    </w:p>
    <w:p w:rsidR="007B7830" w:rsidRDefault="007B7830" w:rsidP="007B7830">
      <w:pPr>
        <w:rPr>
          <w:sz w:val="24"/>
          <w:szCs w:val="24"/>
        </w:rPr>
      </w:pPr>
    </w:p>
    <w:p w:rsidR="00C35BF4" w:rsidRDefault="00C35BF4" w:rsidP="007B7830">
      <w:pPr>
        <w:rPr>
          <w:sz w:val="24"/>
          <w:szCs w:val="24"/>
        </w:rPr>
      </w:pPr>
    </w:p>
    <w:p w:rsidR="00C35BF4" w:rsidRDefault="00C35BF4" w:rsidP="007B7830">
      <w:pPr>
        <w:rPr>
          <w:sz w:val="24"/>
          <w:szCs w:val="24"/>
        </w:rPr>
      </w:pPr>
    </w:p>
    <w:p w:rsidR="00C35BF4" w:rsidRDefault="00C35BF4" w:rsidP="007B7830">
      <w:pPr>
        <w:rPr>
          <w:sz w:val="24"/>
          <w:szCs w:val="24"/>
        </w:rPr>
      </w:pPr>
    </w:p>
    <w:p w:rsidR="00C35BF4" w:rsidRDefault="00C35BF4" w:rsidP="007B7830">
      <w:pPr>
        <w:rPr>
          <w:sz w:val="24"/>
          <w:szCs w:val="24"/>
        </w:rPr>
      </w:pPr>
    </w:p>
    <w:p w:rsidR="00C35BF4" w:rsidRDefault="00C35BF4" w:rsidP="007B7830">
      <w:pPr>
        <w:rPr>
          <w:sz w:val="24"/>
          <w:szCs w:val="24"/>
        </w:rPr>
      </w:pPr>
    </w:p>
    <w:p w:rsidR="007B7830" w:rsidRDefault="007B7830" w:rsidP="007B7830">
      <w:pPr>
        <w:rPr>
          <w:sz w:val="24"/>
          <w:szCs w:val="24"/>
        </w:rPr>
      </w:pPr>
    </w:p>
    <w:p w:rsidR="007B7830" w:rsidRDefault="007B7830" w:rsidP="007B7830">
      <w:pPr>
        <w:rPr>
          <w:sz w:val="24"/>
          <w:szCs w:val="24"/>
        </w:rPr>
      </w:pPr>
    </w:p>
    <w:p w:rsidR="007B7830" w:rsidRDefault="007B7830" w:rsidP="007B7830">
      <w:pPr>
        <w:rPr>
          <w:sz w:val="24"/>
          <w:szCs w:val="24"/>
        </w:rPr>
      </w:pPr>
    </w:p>
    <w:p w:rsidR="007B7830" w:rsidRPr="007B7830" w:rsidRDefault="007B7830" w:rsidP="007B7830">
      <w:pPr>
        <w:keepNext/>
        <w:tabs>
          <w:tab w:val="left" w:pos="1440"/>
        </w:tabs>
        <w:spacing w:after="0" w:line="240" w:lineRule="auto"/>
        <w:outlineLvl w:val="0"/>
        <w:rPr>
          <w:rFonts w:ascii="Tahoma" w:eastAsia="Times New Roman" w:hAnsi="Tahoma" w:cs="Tahoma"/>
          <w:sz w:val="14"/>
          <w:szCs w:val="14"/>
          <w:u w:val="single"/>
        </w:rPr>
      </w:pPr>
    </w:p>
    <w:p w:rsidR="007B7830" w:rsidRPr="007B7830" w:rsidRDefault="007B7830" w:rsidP="007B7830">
      <w:pPr>
        <w:keepNext/>
        <w:tabs>
          <w:tab w:val="left" w:pos="1440"/>
        </w:tabs>
        <w:spacing w:after="0" w:line="240" w:lineRule="auto"/>
        <w:outlineLvl w:val="0"/>
        <w:rPr>
          <w:rFonts w:ascii="Tahoma" w:eastAsia="Times New Roman" w:hAnsi="Tahoma" w:cs="Tahoma"/>
          <w:sz w:val="14"/>
          <w:szCs w:val="14"/>
          <w:u w:val="single"/>
        </w:rPr>
      </w:pPr>
      <w:r w:rsidRPr="007B7830">
        <w:rPr>
          <w:rFonts w:ascii="Tahoma" w:eastAsia="Times New Roman" w:hAnsi="Tahoma" w:cs="Tahoma"/>
          <w:sz w:val="14"/>
          <w:szCs w:val="14"/>
          <w:u w:val="single"/>
        </w:rPr>
        <w:t>Notice of Posting</w:t>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t>Time 12:30 p.m.</w:t>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t xml:space="preserve">Date </w:t>
      </w:r>
      <w:r w:rsidR="006B49DA">
        <w:rPr>
          <w:rFonts w:ascii="Tahoma" w:eastAsia="Times New Roman" w:hAnsi="Tahoma" w:cs="Tahoma"/>
          <w:sz w:val="14"/>
          <w:szCs w:val="14"/>
          <w:u w:val="single"/>
        </w:rPr>
        <w:t>8/1</w:t>
      </w:r>
      <w:r w:rsidR="002460CB">
        <w:rPr>
          <w:rFonts w:ascii="Tahoma" w:eastAsia="Times New Roman" w:hAnsi="Tahoma" w:cs="Tahoma"/>
          <w:sz w:val="14"/>
          <w:szCs w:val="14"/>
          <w:u w:val="single"/>
        </w:rPr>
        <w:t>4</w:t>
      </w:r>
      <w:r w:rsidRPr="007B7830">
        <w:rPr>
          <w:rFonts w:ascii="Tahoma" w:eastAsia="Times New Roman" w:hAnsi="Tahoma" w:cs="Tahoma"/>
          <w:sz w:val="14"/>
          <w:szCs w:val="14"/>
          <w:u w:val="single"/>
        </w:rPr>
        <w:t>/2017</w:t>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t>Place:  Courthouse</w:t>
      </w:r>
    </w:p>
    <w:p w:rsidR="007B7830" w:rsidRDefault="007B7830" w:rsidP="007B7830">
      <w:pPr>
        <w:tabs>
          <w:tab w:val="left" w:pos="1440"/>
        </w:tabs>
        <w:spacing w:after="0" w:line="240" w:lineRule="auto"/>
        <w:rPr>
          <w:rFonts w:ascii="Tahoma" w:eastAsia="Times New Roman" w:hAnsi="Tahoma" w:cs="Tahoma"/>
          <w:sz w:val="14"/>
          <w:szCs w:val="14"/>
        </w:rPr>
      </w:pPr>
      <w:r w:rsidRPr="007B7830">
        <w:rPr>
          <w:rFonts w:ascii="Tahoma" w:eastAsia="Times New Roman" w:hAnsi="Tahoma" w:cs="Tahoma"/>
          <w:sz w:val="14"/>
          <w:szCs w:val="14"/>
        </w:rPr>
        <w:t>Bob Mott, Chair</w:t>
      </w:r>
    </w:p>
    <w:p w:rsidR="007B7830" w:rsidRPr="007B7830" w:rsidRDefault="007B7830" w:rsidP="007B7830">
      <w:pPr>
        <w:tabs>
          <w:tab w:val="left" w:pos="1440"/>
        </w:tabs>
        <w:spacing w:after="0" w:line="240" w:lineRule="auto"/>
        <w:rPr>
          <w:rFonts w:ascii="Tahoma" w:eastAsia="Times New Roman" w:hAnsi="Tahoma" w:cs="Tahoma"/>
          <w:sz w:val="14"/>
          <w:szCs w:val="14"/>
        </w:rPr>
      </w:pPr>
    </w:p>
    <w:p w:rsidR="007B7830" w:rsidRPr="007B7830" w:rsidRDefault="007B7830" w:rsidP="007B7830">
      <w:pPr>
        <w:spacing w:after="0" w:line="240" w:lineRule="auto"/>
        <w:rPr>
          <w:rFonts w:ascii="Tahoma" w:eastAsia="Times New Roman" w:hAnsi="Tahoma" w:cs="Tahoma"/>
          <w:i/>
          <w:iCs/>
          <w:sz w:val="14"/>
          <w:szCs w:val="14"/>
        </w:rPr>
      </w:pPr>
      <w:r w:rsidRPr="007B7830">
        <w:rPr>
          <w:rFonts w:ascii="Tahoma" w:eastAsia="Times New Roman" w:hAnsi="Tahoma" w:cs="Tahoma"/>
          <w:i/>
          <w:iCs/>
          <w:sz w:val="14"/>
          <w:szCs w:val="14"/>
        </w:rPr>
        <w:t>Notice posted by chief presiding officer or his/her designee.  Additional information on a specific agenda item may be obtained by contacting the person who posted this notice at 715-369-7835.</w:t>
      </w:r>
    </w:p>
    <w:p w:rsidR="007B7830" w:rsidRPr="007B7830" w:rsidRDefault="007B7830" w:rsidP="007B7830">
      <w:pPr>
        <w:spacing w:after="0" w:line="240" w:lineRule="auto"/>
        <w:rPr>
          <w:rFonts w:ascii="Tahoma" w:eastAsia="Times New Roman" w:hAnsi="Tahoma" w:cs="Tahoma"/>
          <w:sz w:val="14"/>
          <w:szCs w:val="14"/>
        </w:rPr>
      </w:pPr>
    </w:p>
    <w:p w:rsidR="007B7830" w:rsidRPr="007B7830" w:rsidRDefault="007B7830" w:rsidP="007B7830">
      <w:pPr>
        <w:spacing w:after="0" w:line="220" w:lineRule="atLeast"/>
        <w:rPr>
          <w:rFonts w:ascii="Tahoma" w:eastAsia="Times New Roman" w:hAnsi="Tahoma" w:cs="Tahoma"/>
          <w:sz w:val="14"/>
          <w:szCs w:val="14"/>
          <w:u w:val="single"/>
        </w:rPr>
      </w:pPr>
      <w:r w:rsidRPr="007B7830">
        <w:rPr>
          <w:rFonts w:ascii="Tahoma" w:eastAsia="Times New Roman" w:hAnsi="Tahoma" w:cs="Tahoma"/>
          <w:sz w:val="14"/>
          <w:szCs w:val="14"/>
          <w:u w:val="single"/>
        </w:rPr>
        <w:t>News Media Notified via Mail/Fax/E-mail:</w:t>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t>Time: 12:30 p.m.</w:t>
      </w:r>
      <w:r w:rsidRPr="007B7830">
        <w:rPr>
          <w:rFonts w:ascii="Tahoma" w:eastAsia="Times New Roman" w:hAnsi="Tahoma" w:cs="Tahoma"/>
          <w:sz w:val="14"/>
          <w:szCs w:val="14"/>
          <w:u w:val="single"/>
        </w:rPr>
        <w:tab/>
      </w:r>
      <w:r w:rsidRPr="007B7830">
        <w:rPr>
          <w:rFonts w:ascii="Tahoma" w:eastAsia="Times New Roman" w:hAnsi="Tahoma" w:cs="Tahoma"/>
          <w:sz w:val="14"/>
          <w:szCs w:val="14"/>
          <w:u w:val="single"/>
        </w:rPr>
        <w:tab/>
        <w:t xml:space="preserve">Date: </w:t>
      </w:r>
      <w:r w:rsidR="008D38E3">
        <w:rPr>
          <w:rFonts w:ascii="Tahoma" w:eastAsia="Times New Roman" w:hAnsi="Tahoma" w:cs="Tahoma"/>
          <w:sz w:val="14"/>
          <w:szCs w:val="14"/>
          <w:u w:val="single"/>
        </w:rPr>
        <w:t>8/14/2017</w:t>
      </w:r>
      <w:r w:rsidRPr="007B7830">
        <w:rPr>
          <w:rFonts w:ascii="Tahoma" w:eastAsia="Times New Roman" w:hAnsi="Tahoma" w:cs="Tahoma"/>
          <w:sz w:val="14"/>
          <w:szCs w:val="14"/>
          <w:u w:val="single"/>
        </w:rPr>
        <w:tab/>
        <w:t xml:space="preserve">   </w:t>
      </w:r>
      <w:r w:rsidRPr="007B7830">
        <w:rPr>
          <w:rFonts w:ascii="Tahoma" w:eastAsia="Times New Roman" w:hAnsi="Tahoma" w:cs="Tahoma"/>
          <w:sz w:val="14"/>
          <w:szCs w:val="14"/>
          <w:u w:val="single"/>
        </w:rPr>
        <w:tab/>
        <w:t xml:space="preserve">        </w:t>
      </w:r>
      <w:r w:rsidRPr="007B7830">
        <w:rPr>
          <w:rFonts w:ascii="Tahoma" w:eastAsia="Times New Roman" w:hAnsi="Tahoma" w:cs="Tahoma"/>
          <w:sz w:val="14"/>
          <w:szCs w:val="14"/>
          <w:u w:val="single"/>
        </w:rPr>
        <w:tab/>
      </w:r>
    </w:p>
    <w:p w:rsidR="007B7830" w:rsidRPr="007B7830" w:rsidRDefault="007B7830" w:rsidP="007B7830">
      <w:pPr>
        <w:spacing w:after="0" w:line="220" w:lineRule="atLeast"/>
        <w:rPr>
          <w:rFonts w:ascii="Tahoma" w:eastAsia="Times New Roman" w:hAnsi="Tahoma" w:cs="Tahoma"/>
          <w:sz w:val="14"/>
          <w:szCs w:val="14"/>
        </w:rPr>
      </w:pPr>
      <w:r w:rsidRPr="007B7830">
        <w:rPr>
          <w:rFonts w:ascii="Tahoma" w:eastAsia="Times New Roman" w:hAnsi="Tahoma" w:cs="Tahoma"/>
          <w:sz w:val="14"/>
          <w:szCs w:val="14"/>
        </w:rPr>
        <w:t>Northwoods River News</w:t>
      </w:r>
      <w:r w:rsidRPr="007B7830">
        <w:rPr>
          <w:rFonts w:ascii="Tahoma" w:eastAsia="Times New Roman" w:hAnsi="Tahoma" w:cs="Tahoma"/>
          <w:sz w:val="14"/>
          <w:szCs w:val="14"/>
        </w:rPr>
        <w:tab/>
      </w:r>
      <w:r w:rsidRPr="007B7830">
        <w:rPr>
          <w:rFonts w:ascii="Tahoma" w:eastAsia="Times New Roman" w:hAnsi="Tahoma" w:cs="Tahoma"/>
          <w:sz w:val="14"/>
          <w:szCs w:val="14"/>
        </w:rPr>
        <w:tab/>
        <w:t>The Lakeland Times</w:t>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t>North Star Journal</w:t>
      </w:r>
      <w:r w:rsidRPr="007B7830">
        <w:rPr>
          <w:rFonts w:ascii="Tahoma" w:eastAsia="Times New Roman" w:hAnsi="Tahoma" w:cs="Tahoma"/>
          <w:sz w:val="14"/>
          <w:szCs w:val="14"/>
        </w:rPr>
        <w:tab/>
      </w:r>
      <w:r w:rsidRPr="007B7830">
        <w:rPr>
          <w:rFonts w:ascii="Tahoma" w:eastAsia="Times New Roman" w:hAnsi="Tahoma" w:cs="Tahoma"/>
          <w:sz w:val="14"/>
          <w:szCs w:val="14"/>
        </w:rPr>
        <w:tab/>
        <w:t>WPEG</w:t>
      </w:r>
      <w:r>
        <w:rPr>
          <w:rFonts w:ascii="Tahoma" w:eastAsia="Times New Roman" w:hAnsi="Tahoma" w:cs="Tahoma"/>
          <w:sz w:val="14"/>
          <w:szCs w:val="14"/>
        </w:rPr>
        <w:t xml:space="preserve"> - 98</w:t>
      </w:r>
    </w:p>
    <w:p w:rsidR="007B7830" w:rsidRPr="007B7830" w:rsidRDefault="007B7830" w:rsidP="007B7830">
      <w:pPr>
        <w:spacing w:after="0" w:line="220" w:lineRule="atLeast"/>
        <w:rPr>
          <w:rFonts w:ascii="Tahoma" w:eastAsia="Times New Roman" w:hAnsi="Tahoma" w:cs="Tahoma"/>
          <w:sz w:val="14"/>
          <w:szCs w:val="14"/>
        </w:rPr>
      </w:pPr>
      <w:r w:rsidRPr="007B7830">
        <w:rPr>
          <w:rFonts w:ascii="Tahoma" w:eastAsia="Times New Roman" w:hAnsi="Tahoma" w:cs="Tahoma"/>
          <w:sz w:val="14"/>
          <w:szCs w:val="14"/>
        </w:rPr>
        <w:t>WJFW TV Channel 12</w:t>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t>NRG Media</w:t>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t>WYCE Radio</w:t>
      </w:r>
      <w:r>
        <w:rPr>
          <w:rFonts w:ascii="Tahoma" w:eastAsia="Times New Roman" w:hAnsi="Tahoma" w:cs="Tahoma"/>
          <w:sz w:val="14"/>
          <w:szCs w:val="14"/>
        </w:rPr>
        <w:t xml:space="preserve"> -</w:t>
      </w:r>
      <w:r w:rsidR="00C35BF4">
        <w:rPr>
          <w:rFonts w:ascii="Tahoma" w:eastAsia="Times New Roman" w:hAnsi="Tahoma" w:cs="Tahoma"/>
          <w:sz w:val="14"/>
          <w:szCs w:val="14"/>
        </w:rPr>
        <w:t xml:space="preserve"> 93.5</w:t>
      </w:r>
      <w:r w:rsidRPr="007B7830">
        <w:rPr>
          <w:rFonts w:ascii="Tahoma" w:eastAsia="Times New Roman" w:hAnsi="Tahoma" w:cs="Tahoma"/>
          <w:sz w:val="14"/>
          <w:szCs w:val="14"/>
        </w:rPr>
        <w:tab/>
      </w:r>
    </w:p>
    <w:p w:rsidR="007B7830" w:rsidRPr="007B7830" w:rsidRDefault="007B7830" w:rsidP="007B7830">
      <w:pPr>
        <w:spacing w:after="0" w:line="220" w:lineRule="atLeast"/>
        <w:rPr>
          <w:rFonts w:ascii="Tahoma" w:eastAsia="Times New Roman" w:hAnsi="Tahoma" w:cs="Tahoma"/>
          <w:sz w:val="14"/>
          <w:szCs w:val="14"/>
        </w:rPr>
        <w:sectPr w:rsidR="007B7830" w:rsidRPr="007B7830" w:rsidSect="007B7830">
          <w:footerReference w:type="even" r:id="rId7"/>
          <w:pgSz w:w="12240" w:h="15840" w:code="1"/>
          <w:pgMar w:top="302" w:right="864" w:bottom="302" w:left="864" w:header="1440" w:footer="720" w:gutter="0"/>
          <w:cols w:space="720"/>
          <w:docGrid w:linePitch="326"/>
        </w:sectPr>
      </w:pPr>
      <w:r w:rsidRPr="007B7830">
        <w:rPr>
          <w:rFonts w:ascii="Tahoma" w:eastAsia="Times New Roman" w:hAnsi="Tahoma" w:cs="Tahoma"/>
          <w:b/>
          <w:bCs/>
          <w:noProof/>
          <w:sz w:val="24"/>
          <w:szCs w:val="24"/>
        </w:rPr>
        <mc:AlternateContent>
          <mc:Choice Requires="wps">
            <w:drawing>
              <wp:anchor distT="0" distB="0" distL="114300" distR="114300" simplePos="0" relativeHeight="251659264" behindDoc="1" locked="0" layoutInCell="1" allowOverlap="1" wp14:anchorId="4877041B" wp14:editId="18E56C3C">
                <wp:simplePos x="0" y="0"/>
                <wp:positionH relativeFrom="margin">
                  <wp:align>left</wp:align>
                </wp:positionH>
                <wp:positionV relativeFrom="paragraph">
                  <wp:posOffset>242570</wp:posOffset>
                </wp:positionV>
                <wp:extent cx="6705600" cy="583565"/>
                <wp:effectExtent l="0" t="0" r="0" b="6985"/>
                <wp:wrapTight wrapText="bothSides">
                  <wp:wrapPolygon edited="0">
                    <wp:start x="0" y="0"/>
                    <wp:lineTo x="0" y="21153"/>
                    <wp:lineTo x="21539" y="21153"/>
                    <wp:lineTo x="21539" y="0"/>
                    <wp:lineTo x="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83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7830" w:rsidRPr="00C35BF4" w:rsidRDefault="007B7830" w:rsidP="007B7830">
                            <w:pPr>
                              <w:jc w:val="center"/>
                              <w:rPr>
                                <w:sz w:val="20"/>
                                <w:szCs w:val="20"/>
                              </w:rPr>
                            </w:pPr>
                            <w:r w:rsidRPr="00C35BF4">
                              <w:rPr>
                                <w:sz w:val="20"/>
                                <w:szCs w:val="20"/>
                              </w:rPr>
                              <w:t>Notice is hereby further given that pursuant to the Americans with Disabilities Act reasonable accommodations will be provided for qualified individuals with disabilities upon request.  Please call Tracy Hartman at (715) 369-6144 with specific information on your request allowing adequate time to respond to your request.</w:t>
                            </w:r>
                          </w:p>
                          <w:p w:rsidR="00C35BF4" w:rsidRDefault="007B7830" w:rsidP="00C35BF4">
                            <w:pPr>
                              <w:jc w:val="center"/>
                              <w:rPr>
                                <w:sz w:val="14"/>
                              </w:rPr>
                            </w:pPr>
                            <w:r>
                              <w:rPr>
                                <w:sz w:val="14"/>
                              </w:rPr>
                              <w:t>================================================================================</w:t>
                            </w:r>
                            <w:r w:rsidR="00C35BF4">
                              <w:rPr>
                                <w:sz w:val="14"/>
                              </w:rPr>
                              <w:t>================================================================================</w:t>
                            </w:r>
                          </w:p>
                          <w:p w:rsidR="007B7830" w:rsidRDefault="007B7830" w:rsidP="007B7830">
                            <w:pPr>
                              <w:jc w:val="center"/>
                              <w:rPr>
                                <w:sz w:val="14"/>
                              </w:rPr>
                            </w:pPr>
                          </w:p>
                          <w:p w:rsidR="007B7830" w:rsidRPr="00271650" w:rsidRDefault="007B7830" w:rsidP="007B7830">
                            <w:pPr>
                              <w:jc w:val="center"/>
                              <w:rPr>
                                <w:b/>
                                <w:sz w:val="14"/>
                              </w:rPr>
                            </w:pPr>
                            <w:r w:rsidRPr="00271650">
                              <w:rPr>
                                <w:b/>
                                <w:sz w:val="14"/>
                              </w:rPr>
                              <w:t xml:space="preserve">See </w:t>
                            </w:r>
                            <w:r w:rsidRPr="00103AFC">
                              <w:rPr>
                                <w:b/>
                                <w:color w:val="FF0000"/>
                                <w:sz w:val="14"/>
                              </w:rPr>
                              <w:t xml:space="preserve">below </w:t>
                            </w:r>
                            <w:r w:rsidRPr="00271650">
                              <w:rPr>
                                <w:b/>
                                <w:sz w:val="14"/>
                              </w:rPr>
                              <w:t>for compliance checklist with the Wisconsin Open Meeting Law.</w:t>
                            </w:r>
                          </w:p>
                          <w:p w:rsidR="007B7830" w:rsidRDefault="007B7830" w:rsidP="007B7830">
                            <w:pPr>
                              <w:pStyle w:val="Footer"/>
                              <w:jc w:val="center"/>
                              <w:rPr>
                                <w:sz w:val="14"/>
                              </w:rPr>
                            </w:pPr>
                            <w:r>
                              <w:rPr>
                                <w:sz w:val="14"/>
                              </w:rPr>
                              <w:t>***********************************************************************************************************</w:t>
                            </w:r>
                          </w:p>
                          <w:p w:rsidR="007B7830" w:rsidRDefault="007B7830" w:rsidP="007B7830">
                            <w:pPr>
                              <w:pStyle w:val="Footer"/>
                              <w:jc w:val="center"/>
                              <w:rPr>
                                <w:sz w:val="14"/>
                              </w:rPr>
                            </w:pPr>
                          </w:p>
                          <w:p w:rsidR="007B7830" w:rsidRDefault="007B7830" w:rsidP="007B7830"/>
                          <w:p w:rsidR="007B7830" w:rsidRDefault="007B7830" w:rsidP="007B7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7041B" id="_x0000_t202" coordsize="21600,21600" o:spt="202" path="m,l,21600r21600,l21600,xe">
                <v:stroke joinstyle="miter"/>
                <v:path gradientshapeok="t" o:connecttype="rect"/>
              </v:shapetype>
              <v:shape id="Text Box 7" o:spid="_x0000_s1026" type="#_x0000_t202" style="position:absolute;margin-left:0;margin-top:19.1pt;width:528pt;height:45.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fggwIAAA8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AyZKc3rgKnBwNufoDt4BkideZe088OKX3bErXj19bqvuWEAbssnEwmR0ccF0C2&#10;/TvN4Bqy9zoCDY3tAiAkAwE6VOnpXJlAhcLmYpkWixRMFGzF6lWxKOIVpDqdNtb5N1x3KExqbKHy&#10;EZ0c7p0PbEh1constRRsI6SMC7vb3kqLDgRUsonfEd1N3aQKzkqHYyPiuAMk4Y5gC3Rj1b+V2TxP&#10;b+blbLNYLWf5Ji9m5TJdzdKsvCkXaV7md5vvgWCWV61gjKt7ofhJgVn+dxU+9sKonahB1Ne4LObF&#10;WKIpezcNMo3fn4LshIeGlKKr8ersRKpQ2NeKQdik8kTIcZ78TD9mGXJw+sesRBmEyo8a8MN2AJSg&#10;ja1mTyAIq6FeUFp4RWDSavsVox46ssbuy55YjpF8q0BUZZbnoYXjIi+Wc1jYqWU7tRBFAarGHqNx&#10;euvHtt8bK3Yt3DTKWOlrEGIjokaeWR3lC10Xgzm+EKGtp+vo9fyOrX8AAAD//wMAUEsDBBQABgAI&#10;AAAAIQAkfrws3QAAAAgBAAAPAAAAZHJzL2Rvd25yZXYueG1sTI/BTsNADETvSPzDykhcEN20pWkJ&#10;2VSABOLa0g9wsm4SkfVG2W2T/j3uCW62ZzR+k28n16kzDaH1bGA+S0ARV962XBs4fH88bkCFiGyx&#10;80wGLhRgW9ze5JhZP/KOzvtYKwnhkKGBJsY+0zpUDTkMM98Ti3b0g8Mo61BrO+Ao4a7TiyRJtcOW&#10;5UODPb03VP3sT87A8Wt8WD2P5Wc8rHdP6Ru269JfjLm/m15fQEWa4p8ZrviCDoUwlf7ENqjOgBSJ&#10;BpabBairmqxSuZQyLZM56CLX/wsUvwAAAP//AwBQSwECLQAUAAYACAAAACEAtoM4kv4AAADhAQAA&#10;EwAAAAAAAAAAAAAAAAAAAAAAW0NvbnRlbnRfVHlwZXNdLnhtbFBLAQItABQABgAIAAAAIQA4/SH/&#10;1gAAAJQBAAALAAAAAAAAAAAAAAAAAC8BAABfcmVscy8ucmVsc1BLAQItABQABgAIAAAAIQC9n0fg&#10;gwIAAA8FAAAOAAAAAAAAAAAAAAAAAC4CAABkcnMvZTJvRG9jLnhtbFBLAQItABQABgAIAAAAIQAk&#10;frws3QAAAAgBAAAPAAAAAAAAAAAAAAAAAN0EAABkcnMvZG93bnJldi54bWxQSwUGAAAAAAQABADz&#10;AAAA5wUAAAAA&#10;" stroked="f">
                <v:textbox>
                  <w:txbxContent>
                    <w:p w:rsidR="007B7830" w:rsidRPr="00C35BF4" w:rsidRDefault="007B7830" w:rsidP="007B7830">
                      <w:pPr>
                        <w:jc w:val="center"/>
                        <w:rPr>
                          <w:sz w:val="20"/>
                          <w:szCs w:val="20"/>
                        </w:rPr>
                      </w:pPr>
                      <w:r w:rsidRPr="00C35BF4">
                        <w:rPr>
                          <w:sz w:val="20"/>
                          <w:szCs w:val="20"/>
                        </w:rPr>
                        <w:t>Notice is hereby further given that pursuant to the Americans with Disabilities Act reasonable accommodations will be provided for qualified individuals with disabilities upon request.  Please call Tracy Hartman at (715) 369-6144 with specific information on your request allowing adequate time to respond to your request.</w:t>
                      </w:r>
                    </w:p>
                    <w:p w:rsidR="00C35BF4" w:rsidRDefault="007B7830" w:rsidP="00C35BF4">
                      <w:pPr>
                        <w:jc w:val="center"/>
                        <w:rPr>
                          <w:sz w:val="14"/>
                        </w:rPr>
                      </w:pPr>
                      <w:r>
                        <w:rPr>
                          <w:sz w:val="14"/>
                        </w:rPr>
                        <w:t>================================================================================</w:t>
                      </w:r>
                      <w:r w:rsidR="00C35BF4">
                        <w:rPr>
                          <w:sz w:val="14"/>
                        </w:rPr>
                        <w:t>================================================================================</w:t>
                      </w:r>
                    </w:p>
                    <w:p w:rsidR="007B7830" w:rsidRDefault="007B7830" w:rsidP="007B7830">
                      <w:pPr>
                        <w:jc w:val="center"/>
                        <w:rPr>
                          <w:sz w:val="14"/>
                        </w:rPr>
                      </w:pPr>
                    </w:p>
                    <w:p w:rsidR="007B7830" w:rsidRPr="00271650" w:rsidRDefault="007B7830" w:rsidP="007B7830">
                      <w:pPr>
                        <w:jc w:val="center"/>
                        <w:rPr>
                          <w:b/>
                          <w:sz w:val="14"/>
                        </w:rPr>
                      </w:pPr>
                      <w:r w:rsidRPr="00271650">
                        <w:rPr>
                          <w:b/>
                          <w:sz w:val="14"/>
                        </w:rPr>
                        <w:t xml:space="preserve">See </w:t>
                      </w:r>
                      <w:r w:rsidRPr="00103AFC">
                        <w:rPr>
                          <w:b/>
                          <w:color w:val="FF0000"/>
                          <w:sz w:val="14"/>
                        </w:rPr>
                        <w:t xml:space="preserve">below </w:t>
                      </w:r>
                      <w:r w:rsidRPr="00271650">
                        <w:rPr>
                          <w:b/>
                          <w:sz w:val="14"/>
                        </w:rPr>
                        <w:t>for compliance checklist with the Wisconsin Open Meeting Law.</w:t>
                      </w:r>
                    </w:p>
                    <w:p w:rsidR="007B7830" w:rsidRDefault="007B7830" w:rsidP="007B7830">
                      <w:pPr>
                        <w:pStyle w:val="Footer"/>
                        <w:jc w:val="center"/>
                        <w:rPr>
                          <w:sz w:val="14"/>
                        </w:rPr>
                      </w:pPr>
                      <w:r>
                        <w:rPr>
                          <w:sz w:val="14"/>
                        </w:rPr>
                        <w:t>***********************************************************************************************************</w:t>
                      </w:r>
                    </w:p>
                    <w:p w:rsidR="007B7830" w:rsidRDefault="007B7830" w:rsidP="007B7830">
                      <w:pPr>
                        <w:pStyle w:val="Footer"/>
                        <w:jc w:val="center"/>
                        <w:rPr>
                          <w:sz w:val="14"/>
                        </w:rPr>
                      </w:pPr>
                    </w:p>
                    <w:p w:rsidR="007B7830" w:rsidRDefault="007B7830" w:rsidP="007B7830"/>
                    <w:p w:rsidR="007B7830" w:rsidRDefault="007B7830" w:rsidP="007B7830"/>
                  </w:txbxContent>
                </v:textbox>
                <w10:wrap type="tight" anchorx="margin"/>
              </v:shape>
            </w:pict>
          </mc:Fallback>
        </mc:AlternateContent>
      </w:r>
      <w:r w:rsidRPr="007B7830">
        <w:rPr>
          <w:rFonts w:ascii="Tahoma" w:eastAsia="Times New Roman" w:hAnsi="Tahoma" w:cs="Tahoma"/>
          <w:sz w:val="14"/>
          <w:szCs w:val="14"/>
        </w:rPr>
        <w:t>WRJO Radio</w:t>
      </w:r>
      <w:r w:rsidR="00C35BF4">
        <w:rPr>
          <w:rFonts w:ascii="Tahoma" w:eastAsia="Times New Roman" w:hAnsi="Tahoma" w:cs="Tahoma"/>
          <w:sz w:val="14"/>
          <w:szCs w:val="14"/>
        </w:rPr>
        <w:t xml:space="preserve"> – 94.</w:t>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t>Tomahawk Leader</w:t>
      </w:r>
      <w:r w:rsidRPr="007B7830">
        <w:rPr>
          <w:rFonts w:ascii="Tahoma" w:eastAsia="Times New Roman" w:hAnsi="Tahoma" w:cs="Tahoma"/>
          <w:sz w:val="14"/>
          <w:szCs w:val="14"/>
        </w:rPr>
        <w:tab/>
      </w:r>
      <w:r w:rsidRPr="007B7830">
        <w:rPr>
          <w:rFonts w:ascii="Tahoma" w:eastAsia="Times New Roman" w:hAnsi="Tahoma" w:cs="Tahoma"/>
          <w:sz w:val="14"/>
          <w:szCs w:val="14"/>
        </w:rPr>
        <w:tab/>
      </w:r>
      <w:r w:rsidRPr="007B7830">
        <w:rPr>
          <w:rFonts w:ascii="Tahoma" w:eastAsia="Times New Roman" w:hAnsi="Tahoma" w:cs="Tahoma"/>
          <w:sz w:val="14"/>
          <w:szCs w:val="14"/>
        </w:rPr>
        <w:tab/>
        <w:t>WXPR Radio</w:t>
      </w:r>
      <w:r w:rsidR="00B2743E">
        <w:rPr>
          <w:rFonts w:ascii="Tahoma" w:eastAsia="Times New Roman" w:hAnsi="Tahoma" w:cs="Tahoma"/>
          <w:sz w:val="14"/>
          <w:szCs w:val="14"/>
        </w:rPr>
        <w:t xml:space="preserve"> – 91.</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lastRenderedPageBreak/>
        <w:t xml:space="preserve">GENERAL REQUIREMENTS:  </w:t>
      </w:r>
    </w:p>
    <w:p w:rsidR="00F844B4" w:rsidRPr="00F844B4" w:rsidRDefault="00F844B4" w:rsidP="00F844B4">
      <w:pPr>
        <w:numPr>
          <w:ilvl w:val="0"/>
          <w:numId w:val="2"/>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Must be held in a location which is reasonably  accessible to the public.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2"/>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Must be open to all members of the public  unless the law specifically provides otherwise.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NOTICE REQUIREMENTS: </w:t>
      </w:r>
    </w:p>
    <w:p w:rsidR="00F844B4" w:rsidRPr="00F844B4" w:rsidRDefault="00F844B4" w:rsidP="00F844B4">
      <w:pPr>
        <w:numPr>
          <w:ilvl w:val="0"/>
          <w:numId w:val="3"/>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In addition to any requirements set forth below,  notice must also be in compliance with any  other specific statute.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3"/>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Chief presiding officer or his/her designee  must give notice to the official newspaper and  to any members of the news media likely to  give notice to the public.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MANNER OF NOTICE:  </w:t>
      </w:r>
    </w:p>
    <w:p w:rsidR="00F844B4" w:rsidRPr="00F844B4" w:rsidRDefault="00F844B4" w:rsidP="00F844B4">
      <w:pPr>
        <w:spacing w:after="14" w:line="279" w:lineRule="auto"/>
        <w:ind w:left="-5" w:right="-4" w:hanging="10"/>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Date, time, place and subject matter, including</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subject matter to be considered in a closed</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session, must be provided in a manner and</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form reasonably likely to apprise members of</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the public and news media.</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TIME FOR NOTICE:  </w:t>
      </w:r>
    </w:p>
    <w:p w:rsidR="00F844B4" w:rsidRPr="00F844B4" w:rsidRDefault="00F844B4" w:rsidP="00F844B4">
      <w:pPr>
        <w:numPr>
          <w:ilvl w:val="0"/>
          <w:numId w:val="4"/>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Normally, a minimum of 24 hours prior to the  commencement of the meeting.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4"/>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No less than 2 hours prior to the meeting if the  presiding officer establishes there is good  cause that such notice is impossible or  impractical.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4"/>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Separate notice for each meeting of the  governmental body must be given.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EXEMPTIONS FOR COMMITTEES &amp;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SUBUNITS  </w:t>
      </w:r>
    </w:p>
    <w:p w:rsidR="00F844B4" w:rsidRPr="00F844B4" w:rsidRDefault="00F844B4" w:rsidP="00F844B4">
      <w:pPr>
        <w:spacing w:after="14" w:line="279" w:lineRule="auto"/>
        <w:ind w:left="-5" w:right="-4" w:hanging="10"/>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Legally constituted sub-units of a parent</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governmental body may conduct a meeting</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during the recess or immediately after the</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lawful setting to act or deliberate upon the</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subject which was the subject of the meeting,</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provided the presiding officer publicly</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announces the time, place and subject matter</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of the sub-unit meeting in advance of the</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meeting of the parent governmental body.</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PROCEDURE FOR GOING INTO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CLOSED SESSION:  </w:t>
      </w:r>
    </w:p>
    <w:p w:rsidR="00F844B4" w:rsidRPr="00F844B4" w:rsidRDefault="00F844B4" w:rsidP="00F844B4">
      <w:pPr>
        <w:numPr>
          <w:ilvl w:val="0"/>
          <w:numId w:val="5"/>
        </w:numPr>
        <w:spacing w:after="0" w:line="278" w:lineRule="auto"/>
        <w:ind w:right="78" w:hanging="10"/>
        <w:jc w:val="both"/>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Motion must be made, seconded and</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carried by  roll call majority vote and recorded</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in the  minutes.</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5"/>
        </w:numPr>
        <w:spacing w:after="0" w:line="235" w:lineRule="auto"/>
        <w:ind w:right="78"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If motion is carried, chief presiding officer must  advise those attending the meeting of the  nature of the business to be conducted in the  closed session, and  the  specific statutory  exemption under which the closed session is  authorized.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78"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SYNOPSIS OF STATUTORY EXEMPTIONS UNDER WHICH CLOSED SESSIONS ARE PERMITTED: </w:t>
      </w:r>
    </w:p>
    <w:p w:rsidR="00F844B4" w:rsidRPr="00F844B4" w:rsidRDefault="00F844B4" w:rsidP="00F844B4">
      <w:pPr>
        <w:spacing w:after="26"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numPr>
          <w:ilvl w:val="0"/>
          <w:numId w:val="6"/>
        </w:numPr>
        <w:spacing w:after="14" w:line="279"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lastRenderedPageBreak/>
        <w:t>Concerning a case which was the subject</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of a  Judicial or quasi-judicial trial before this</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14" w:line="279" w:lineRule="auto"/>
        <w:ind w:left="-5" w:right="-4" w:hanging="10"/>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governmental body Sec. 19.85(1)(a)</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6"/>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Considering dismissal, demotion or discipline  of any public employee or the investigation of  charges against such person and the taking of  formal action on any such matter; provided that  the person is given actual notice of any   evidentiary hearing which may be held prior to  final action</w:t>
      </w:r>
      <w:r w:rsidRPr="00F844B4">
        <w:rPr>
          <w:rFonts w:ascii="Times New Roman" w:eastAsia="Times New Roman" w:hAnsi="Times New Roman" w:cs="Times New Roman"/>
          <w:b/>
          <w:color w:val="000000"/>
          <w:sz w:val="16"/>
        </w:rPr>
        <w:t xml:space="preserve"> </w:t>
      </w:r>
      <w:r w:rsidRPr="00F844B4">
        <w:rPr>
          <w:rFonts w:ascii="Times New Roman" w:eastAsia="Times New Roman" w:hAnsi="Times New Roman" w:cs="Times New Roman"/>
          <w:color w:val="000000"/>
          <w:sz w:val="16"/>
        </w:rPr>
        <w:t>being taken and of any meeting at</w:t>
      </w:r>
      <w:r w:rsidRPr="00F844B4">
        <w:rPr>
          <w:rFonts w:ascii="Times New Roman" w:eastAsia="Times New Roman" w:hAnsi="Times New Roman" w:cs="Times New Roman"/>
          <w:b/>
          <w:color w:val="000000"/>
          <w:sz w:val="16"/>
        </w:rPr>
        <w:t xml:space="preserve">  </w:t>
      </w:r>
      <w:r w:rsidRPr="00F844B4">
        <w:rPr>
          <w:rFonts w:ascii="Times New Roman" w:eastAsia="Times New Roman" w:hAnsi="Times New Roman" w:cs="Times New Roman"/>
          <w:color w:val="000000"/>
          <w:sz w:val="16"/>
        </w:rPr>
        <w:t xml:space="preserve">which final action is taken.  The person under  consideration must be advised of his/her right  that the evidentiary hearing be held in open  session and the notice of the meeting must  state the same.  Sec. 19.85(1)(b). </w:t>
      </w:r>
    </w:p>
    <w:p w:rsidR="00F844B4" w:rsidRPr="00F844B4" w:rsidRDefault="00F844B4" w:rsidP="00F844B4">
      <w:pPr>
        <w:spacing w:after="27"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numPr>
          <w:ilvl w:val="0"/>
          <w:numId w:val="6"/>
        </w:numPr>
        <w:spacing w:after="14" w:line="279"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Considering employment, promotion,</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compensation or performance evaluation data</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of any public employee over which this body</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has jurisdiction or responsibility.</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Sec.19.85(1)(c).</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6"/>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Considering strategy for crime detection or  prevention.  Sec. 19.85(1)(d).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6"/>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Deliberating or  negotiating the purchase of  public properties, the investing of public funds,  or conducting other specified public business  whenever competitive or bargaining reasons  require a closed session.  Sec. </w:t>
      </w:r>
    </w:p>
    <w:p w:rsidR="00F844B4" w:rsidRPr="00F844B4" w:rsidRDefault="00F844B4" w:rsidP="00F844B4">
      <w:pPr>
        <w:spacing w:after="0" w:line="235" w:lineRule="auto"/>
        <w:ind w:left="-5"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19.85(1)(e).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numPr>
          <w:ilvl w:val="0"/>
          <w:numId w:val="7"/>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Considering financial, medical, social or  personal histories or disciplinary data of  specific person, preliminary consideration of  specific personnel  problems or the  investigation of specific charges, which, if  discussed in public, would likely have a  substantial adverse effect on the reputation of  the person referred to in such data.   Sec.19.85(1)(f), except where paragraph 2  applies.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7"/>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Conferring with legal counsel concerning  strategy to be adopted by the governmental  body with respect to litigation in which it is or  is likely to become involved.  Sec. 19.85(1)(g). </w:t>
      </w:r>
    </w:p>
    <w:p w:rsidR="00F844B4" w:rsidRPr="00F844B4" w:rsidRDefault="00F844B4" w:rsidP="00F844B4">
      <w:pPr>
        <w:spacing w:after="26"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numPr>
          <w:ilvl w:val="0"/>
          <w:numId w:val="7"/>
        </w:numPr>
        <w:spacing w:after="14" w:line="279"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Considering a request for advice from</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any  applicable ethics board.  Sec. 19.85(1)(h).</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PLEASE REFER TO CURRENT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STATUTE SECTION 19.85 FOR FULL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TEXT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CLOSED SESSION RESTRICTIONS: </w:t>
      </w:r>
    </w:p>
    <w:p w:rsidR="00F844B4" w:rsidRPr="00F844B4" w:rsidRDefault="00F844B4" w:rsidP="00F844B4">
      <w:pPr>
        <w:numPr>
          <w:ilvl w:val="0"/>
          <w:numId w:val="8"/>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Must convene in open session before going  into closed session.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8"/>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May not convene in open session, then  convene in closed session and thereafter  reconvene in open session within twelve hours  </w:t>
      </w:r>
      <w:r w:rsidRPr="00F844B4">
        <w:rPr>
          <w:rFonts w:ascii="Times New Roman" w:eastAsia="Times New Roman" w:hAnsi="Times New Roman" w:cs="Times New Roman"/>
          <w:color w:val="000000"/>
          <w:sz w:val="16"/>
          <w:u w:val="single" w:color="000000"/>
        </w:rPr>
        <w:t>unless</w:t>
      </w:r>
      <w:r w:rsidRPr="00F844B4">
        <w:rPr>
          <w:rFonts w:ascii="Times New Roman" w:eastAsia="Times New Roman" w:hAnsi="Times New Roman" w:cs="Times New Roman"/>
          <w:color w:val="000000"/>
          <w:sz w:val="16"/>
        </w:rPr>
        <w:t xml:space="preserve"> proper notice of this sequence was  given at the same  time and in the same  manner as the original open meeting.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8"/>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Final approval or ratification of a collective   bargaining agreement may not be given in closed session.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8"/>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lastRenderedPageBreak/>
        <w:t xml:space="preserve">No business may be taken up at any  closed session except that which  relates to matters contained in the  chief presiding officer's  announcement of the closed session.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8"/>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In order for a meeting to be closed  under Section 19.85(1)(f) at least  one committee member would have to  have actual knowledge of information  which he or she reasonably believes  would be likely to have a substantial  adverse effect upon the reputation  involved and there must be a  probability that such information  would be divulged.  Thereafter, only  that portion of the meeting where  such information would be discussed  can be closed.  The balance of that  agenda item must be held in open session.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BALLOTS, VOTES AND RECORDS:</w:t>
      </w: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9"/>
        </w:numPr>
        <w:spacing w:after="14" w:line="279"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u w:val="single" w:color="000000"/>
        </w:rPr>
        <w:t>Secret ballot is not permitted except for</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the  election of officers of the body or unless</w:t>
      </w:r>
      <w:r w:rsidRPr="00F844B4">
        <w:rPr>
          <w:rFonts w:ascii="Times New Roman" w:eastAsia="Times New Roman" w:hAnsi="Times New Roman" w:cs="Times New Roman"/>
          <w:color w:val="000000"/>
          <w:sz w:val="16"/>
        </w:rPr>
        <w:t xml:space="preserve">  </w:t>
      </w:r>
      <w:r w:rsidRPr="00F844B4">
        <w:rPr>
          <w:rFonts w:ascii="Times New Roman" w:eastAsia="Times New Roman" w:hAnsi="Times New Roman" w:cs="Times New Roman"/>
          <w:color w:val="000000"/>
          <w:sz w:val="16"/>
          <w:u w:val="single" w:color="000000"/>
        </w:rPr>
        <w:t>otherwise permitted by specific statutes.</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9"/>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Except as permitted above, any member may  require that the vote of each member be  ascertained and recorded.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9"/>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Motions and roll call votes must be preserved  in the record and be available for public  inspection.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b/>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USE OF RECORDING EQUIPMENT:</w:t>
      </w: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35" w:lineRule="auto"/>
        <w:ind w:left="-5"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The meeting may be recorded, filmed, or photographed, provided that it does not interfere with the conduct of the meeting or the rights of the participants.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LEGAL INTERPRETATION: </w:t>
      </w:r>
    </w:p>
    <w:p w:rsidR="00F844B4" w:rsidRPr="00F844B4" w:rsidRDefault="00F844B4" w:rsidP="00F844B4">
      <w:pPr>
        <w:numPr>
          <w:ilvl w:val="0"/>
          <w:numId w:val="10"/>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The Wisconsin Attorney General will give   advice concerning the applicability or  clarification of  the Open Meeting Law upon  request.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numPr>
          <w:ilvl w:val="0"/>
          <w:numId w:val="10"/>
        </w:numPr>
        <w:spacing w:after="0" w:line="235" w:lineRule="auto"/>
        <w:ind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The municipal attorney will give advice   concerning the applicability or clarification of  the Open Meeting Law upon request.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36" w:lineRule="auto"/>
        <w:ind w:left="-5" w:right="-15" w:hanging="10"/>
        <w:jc w:val="both"/>
        <w:rPr>
          <w:rFonts w:ascii="Calibri" w:eastAsia="Calibri" w:hAnsi="Calibri" w:cs="Calibri"/>
          <w:color w:val="000000"/>
        </w:rPr>
      </w:pPr>
      <w:r w:rsidRPr="00F844B4">
        <w:rPr>
          <w:rFonts w:ascii="Times New Roman" w:eastAsia="Times New Roman" w:hAnsi="Times New Roman" w:cs="Times New Roman"/>
          <w:b/>
          <w:color w:val="000000"/>
          <w:sz w:val="16"/>
        </w:rPr>
        <w:t xml:space="preserve">PENALTY: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35" w:lineRule="auto"/>
        <w:ind w:left="-5" w:hanging="10"/>
        <w:jc w:val="both"/>
        <w:rPr>
          <w:rFonts w:ascii="Calibri" w:eastAsia="Calibri" w:hAnsi="Calibri" w:cs="Calibri"/>
          <w:color w:val="000000"/>
        </w:rPr>
      </w:pPr>
      <w:r w:rsidRPr="00F844B4">
        <w:rPr>
          <w:rFonts w:ascii="Times New Roman" w:eastAsia="Times New Roman" w:hAnsi="Times New Roman" w:cs="Times New Roman"/>
          <w:color w:val="000000"/>
          <w:sz w:val="16"/>
        </w:rPr>
        <w:t xml:space="preserve">Upon conviction, any member of a governmental body who knowingly attends a meeting held in violation of Subchapter IV, Chapter 19, Wisconsin Statutes, or who otherwise violates the said law shall be subject to forfeiture of not less than $25.00 nor more than $300.00 for each violation. </w:t>
      </w:r>
    </w:p>
    <w:p w:rsidR="00F844B4" w:rsidRPr="00F844B4" w:rsidRDefault="00F844B4" w:rsidP="00F844B4">
      <w:pPr>
        <w:spacing w:after="0" w:line="240" w:lineRule="auto"/>
        <w:rPr>
          <w:rFonts w:ascii="Calibri" w:eastAsia="Calibri" w:hAnsi="Calibri" w:cs="Calibri"/>
          <w:color w:val="000000"/>
        </w:rPr>
      </w:pPr>
      <w:r w:rsidRPr="00F844B4">
        <w:rPr>
          <w:rFonts w:ascii="Times New Roman" w:eastAsia="Times New Roman" w:hAnsi="Times New Roman" w:cs="Times New Roman"/>
          <w:color w:val="000000"/>
          <w:sz w:val="16"/>
        </w:rPr>
        <w:t xml:space="preserve"> </w:t>
      </w:r>
    </w:p>
    <w:p w:rsidR="00F844B4" w:rsidRPr="00F844B4" w:rsidRDefault="00F844B4" w:rsidP="00F844B4">
      <w:pPr>
        <w:spacing w:after="0" w:line="235" w:lineRule="auto"/>
        <w:ind w:left="-5" w:hanging="10"/>
        <w:jc w:val="both"/>
        <w:rPr>
          <w:rFonts w:ascii="Calibri" w:eastAsia="Calibri" w:hAnsi="Calibri" w:cs="Calibri"/>
          <w:color w:val="000000"/>
        </w:rPr>
      </w:pPr>
      <w:r w:rsidRPr="00F844B4">
        <w:rPr>
          <w:rFonts w:ascii="Times New Roman" w:eastAsia="Times New Roman" w:hAnsi="Times New Roman" w:cs="Times New Roman"/>
          <w:color w:val="000000"/>
          <w:sz w:val="16"/>
        </w:rPr>
        <w:t>Prepared by Oneida County Corporation Counsel Office - 5 /16/ 96</w:t>
      </w:r>
    </w:p>
    <w:p w:rsidR="007B7830" w:rsidRPr="007B7830" w:rsidRDefault="007B7830" w:rsidP="00F844B4">
      <w:pPr>
        <w:spacing w:after="0" w:line="140" w:lineRule="atLeast"/>
        <w:jc w:val="both"/>
        <w:rPr>
          <w:sz w:val="24"/>
          <w:szCs w:val="24"/>
        </w:rPr>
      </w:pPr>
    </w:p>
    <w:sectPr w:rsidR="007B7830" w:rsidRPr="007B7830" w:rsidSect="00F844B4">
      <w:pgSz w:w="12240" w:h="15840"/>
      <w:pgMar w:top="720" w:right="720" w:bottom="720" w:left="720" w:header="720" w:footer="720" w:gutter="0"/>
      <w:cols w:num="3" w:space="63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64" w:rsidRDefault="00B2743E">
      <w:pPr>
        <w:spacing w:after="0" w:line="240" w:lineRule="auto"/>
      </w:pPr>
      <w:r>
        <w:separator/>
      </w:r>
    </w:p>
  </w:endnote>
  <w:endnote w:type="continuationSeparator" w:id="0">
    <w:p w:rsidR="004C6C64" w:rsidRDefault="00B2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715" w:rsidRDefault="00601520">
    <w:pPr>
      <w:rPr>
        <w:sz w:val="16"/>
      </w:rPr>
    </w:pPr>
    <w:r>
      <w:rPr>
        <w:sz w:val="16"/>
      </w:rPr>
      <w:t xml:space="preserve">Notice is hereby further given that pursuant to the Americans with Disabilities Act reasonable accommodations will be provided for qualified individuals with disabilities upon request.  Please call Robert Bruso at (715) 369-6144 with specific information on your request allowing adequate time to respond to your request.  </w:t>
    </w:r>
  </w:p>
  <w:p w:rsidR="00646715" w:rsidRDefault="00601520">
    <w:pPr>
      <w:rPr>
        <w:sz w:val="16"/>
      </w:rPr>
    </w:pPr>
    <w:r>
      <w:rPr>
        <w:sz w:val="16"/>
      </w:rPr>
      <w:t>====================================================================================</w:t>
    </w:r>
  </w:p>
  <w:p w:rsidR="00646715" w:rsidRDefault="00601520">
    <w:pPr>
      <w:jc w:val="center"/>
      <w:rPr>
        <w:sz w:val="16"/>
      </w:rPr>
    </w:pPr>
    <w:r>
      <w:rPr>
        <w:sz w:val="16"/>
      </w:rPr>
      <w:t>See reverse side of this notice for compliance checklist with the Wisconsin Open Meeting Law.</w:t>
    </w:r>
  </w:p>
  <w:p w:rsidR="00646715" w:rsidRDefault="00601520">
    <w:pPr>
      <w:pStyle w:val="Footer"/>
    </w:pPr>
    <w:r>
      <w:rPr>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64" w:rsidRDefault="00B2743E">
      <w:pPr>
        <w:spacing w:after="0" w:line="240" w:lineRule="auto"/>
      </w:pPr>
      <w:r>
        <w:separator/>
      </w:r>
    </w:p>
  </w:footnote>
  <w:footnote w:type="continuationSeparator" w:id="0">
    <w:p w:rsidR="004C6C64" w:rsidRDefault="00B274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738FE"/>
    <w:multiLevelType w:val="hybridMultilevel"/>
    <w:tmpl w:val="515CCC8E"/>
    <w:lvl w:ilvl="0" w:tplc="DD86FF5C">
      <w:start w:val="1"/>
      <w:numFmt w:val="decimal"/>
      <w:lvlText w:val="%1."/>
      <w:lvlJc w:val="left"/>
      <w:pPr>
        <w:ind w:left="1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1" w:tplc="02747892">
      <w:start w:val="1"/>
      <w:numFmt w:val="lowerLetter"/>
      <w:lvlText w:val="%2"/>
      <w:lvlJc w:val="left"/>
      <w:pPr>
        <w:ind w:left="10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2" w:tplc="E902A0E2">
      <w:start w:val="1"/>
      <w:numFmt w:val="lowerRoman"/>
      <w:lvlText w:val="%3"/>
      <w:lvlJc w:val="left"/>
      <w:pPr>
        <w:ind w:left="18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3" w:tplc="89841172">
      <w:start w:val="1"/>
      <w:numFmt w:val="decimal"/>
      <w:lvlText w:val="%4"/>
      <w:lvlJc w:val="left"/>
      <w:pPr>
        <w:ind w:left="25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4" w:tplc="9D600388">
      <w:start w:val="1"/>
      <w:numFmt w:val="lowerLetter"/>
      <w:lvlText w:val="%5"/>
      <w:lvlJc w:val="left"/>
      <w:pPr>
        <w:ind w:left="324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5" w:tplc="CEE830B2">
      <w:start w:val="1"/>
      <w:numFmt w:val="lowerRoman"/>
      <w:lvlText w:val="%6"/>
      <w:lvlJc w:val="left"/>
      <w:pPr>
        <w:ind w:left="396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6" w:tplc="8BD02B64">
      <w:start w:val="1"/>
      <w:numFmt w:val="decimal"/>
      <w:lvlText w:val="%7"/>
      <w:lvlJc w:val="left"/>
      <w:pPr>
        <w:ind w:left="46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7" w:tplc="24F8C7B0">
      <w:start w:val="1"/>
      <w:numFmt w:val="lowerLetter"/>
      <w:lvlText w:val="%8"/>
      <w:lvlJc w:val="left"/>
      <w:pPr>
        <w:ind w:left="54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8" w:tplc="1DC6A738">
      <w:start w:val="1"/>
      <w:numFmt w:val="lowerRoman"/>
      <w:lvlText w:val="%9"/>
      <w:lvlJc w:val="left"/>
      <w:pPr>
        <w:ind w:left="61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abstractNum>
  <w:abstractNum w:abstractNumId="1">
    <w:nsid w:val="24214613"/>
    <w:multiLevelType w:val="hybridMultilevel"/>
    <w:tmpl w:val="162E3D4A"/>
    <w:lvl w:ilvl="0" w:tplc="8FBA545C">
      <w:start w:val="1"/>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AA5028C4">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3ADC8310">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7910E8AC">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8BACF134">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1EAACF4E">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7696F050">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AFAE20C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EC68013A">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2">
    <w:nsid w:val="2C754F03"/>
    <w:multiLevelType w:val="hybridMultilevel"/>
    <w:tmpl w:val="B8C05586"/>
    <w:lvl w:ilvl="0" w:tplc="6E74C176">
      <w:start w:val="1"/>
      <w:numFmt w:val="decimal"/>
      <w:lvlText w:val="%1."/>
      <w:lvlJc w:val="left"/>
      <w:pPr>
        <w:ind w:left="1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1" w:tplc="7A266C76">
      <w:start w:val="1"/>
      <w:numFmt w:val="lowerLetter"/>
      <w:lvlText w:val="%2"/>
      <w:lvlJc w:val="left"/>
      <w:pPr>
        <w:ind w:left="10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2" w:tplc="6CE2A5B0">
      <w:start w:val="1"/>
      <w:numFmt w:val="lowerRoman"/>
      <w:lvlText w:val="%3"/>
      <w:lvlJc w:val="left"/>
      <w:pPr>
        <w:ind w:left="18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3" w:tplc="F5C2A24A">
      <w:start w:val="1"/>
      <w:numFmt w:val="decimal"/>
      <w:lvlText w:val="%4"/>
      <w:lvlJc w:val="left"/>
      <w:pPr>
        <w:ind w:left="25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4" w:tplc="653E8AB2">
      <w:start w:val="1"/>
      <w:numFmt w:val="lowerLetter"/>
      <w:lvlText w:val="%5"/>
      <w:lvlJc w:val="left"/>
      <w:pPr>
        <w:ind w:left="324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5" w:tplc="36D275C2">
      <w:start w:val="1"/>
      <w:numFmt w:val="lowerRoman"/>
      <w:lvlText w:val="%6"/>
      <w:lvlJc w:val="left"/>
      <w:pPr>
        <w:ind w:left="396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6" w:tplc="EE6A02C0">
      <w:start w:val="1"/>
      <w:numFmt w:val="decimal"/>
      <w:lvlText w:val="%7"/>
      <w:lvlJc w:val="left"/>
      <w:pPr>
        <w:ind w:left="46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7" w:tplc="FD5C80AE">
      <w:start w:val="1"/>
      <w:numFmt w:val="lowerLetter"/>
      <w:lvlText w:val="%8"/>
      <w:lvlJc w:val="left"/>
      <w:pPr>
        <w:ind w:left="54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8" w:tplc="FB8CB990">
      <w:start w:val="1"/>
      <w:numFmt w:val="lowerRoman"/>
      <w:lvlText w:val="%9"/>
      <w:lvlJc w:val="left"/>
      <w:pPr>
        <w:ind w:left="61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abstractNum>
  <w:abstractNum w:abstractNumId="3">
    <w:nsid w:val="2D0B3A65"/>
    <w:multiLevelType w:val="hybridMultilevel"/>
    <w:tmpl w:val="CA7C878A"/>
    <w:lvl w:ilvl="0" w:tplc="2E9ECCFC">
      <w:start w:val="1"/>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7BA612D2">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7D8CE080">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08EA5A68">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B09E20A2">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6128C43C">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C33A1350">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62109D5C">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47E2F4F2">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4">
    <w:nsid w:val="31263B16"/>
    <w:multiLevelType w:val="hybridMultilevel"/>
    <w:tmpl w:val="72E8C490"/>
    <w:lvl w:ilvl="0" w:tplc="22B83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382C48"/>
    <w:multiLevelType w:val="hybridMultilevel"/>
    <w:tmpl w:val="FBDCE3FC"/>
    <w:lvl w:ilvl="0" w:tplc="EA1A7892">
      <w:start w:val="1"/>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0E728008">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1018CE72">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78BA15E4">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26F4EB3A">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B386B26A">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43B6EFCC">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E9A28DF2">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276E081C">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6">
    <w:nsid w:val="4E9F5F16"/>
    <w:multiLevelType w:val="hybridMultilevel"/>
    <w:tmpl w:val="0E9E4656"/>
    <w:lvl w:ilvl="0" w:tplc="DBEA2662">
      <w:start w:val="1"/>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02EEBF4E">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A6DAA4B4">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00229A7A">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D8222F80">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CB3A2C56">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5204C7FE">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03924934">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C98818D8">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7">
    <w:nsid w:val="52862F36"/>
    <w:multiLevelType w:val="hybridMultilevel"/>
    <w:tmpl w:val="CAC6AA5A"/>
    <w:lvl w:ilvl="0" w:tplc="EFDAFFC6">
      <w:start w:val="6"/>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15D8703C">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302C6FD0">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D93EE1FE">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4DCCF94A">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49C80930">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EB187674">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C7826C10">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2828092C">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8">
    <w:nsid w:val="58E81470"/>
    <w:multiLevelType w:val="hybridMultilevel"/>
    <w:tmpl w:val="91642358"/>
    <w:lvl w:ilvl="0" w:tplc="68D41612">
      <w:start w:val="1"/>
      <w:numFmt w:val="decimal"/>
      <w:lvlText w:val="%1."/>
      <w:lvlJc w:val="left"/>
      <w:pPr>
        <w:ind w:left="1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1" w:tplc="18224A0E">
      <w:start w:val="1"/>
      <w:numFmt w:val="lowerLetter"/>
      <w:lvlText w:val="%2"/>
      <w:lvlJc w:val="left"/>
      <w:pPr>
        <w:ind w:left="10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2" w:tplc="5A5E1CDC">
      <w:start w:val="1"/>
      <w:numFmt w:val="lowerRoman"/>
      <w:lvlText w:val="%3"/>
      <w:lvlJc w:val="left"/>
      <w:pPr>
        <w:ind w:left="18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3" w:tplc="865CE098">
      <w:start w:val="1"/>
      <w:numFmt w:val="decimal"/>
      <w:lvlText w:val="%4"/>
      <w:lvlJc w:val="left"/>
      <w:pPr>
        <w:ind w:left="25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4" w:tplc="D56ADFA0">
      <w:start w:val="1"/>
      <w:numFmt w:val="lowerLetter"/>
      <w:lvlText w:val="%5"/>
      <w:lvlJc w:val="left"/>
      <w:pPr>
        <w:ind w:left="324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5" w:tplc="8EBC6C0A">
      <w:start w:val="1"/>
      <w:numFmt w:val="lowerRoman"/>
      <w:lvlText w:val="%6"/>
      <w:lvlJc w:val="left"/>
      <w:pPr>
        <w:ind w:left="396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6" w:tplc="4294B322">
      <w:start w:val="1"/>
      <w:numFmt w:val="decimal"/>
      <w:lvlText w:val="%7"/>
      <w:lvlJc w:val="left"/>
      <w:pPr>
        <w:ind w:left="468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7" w:tplc="B30EB5A4">
      <w:start w:val="1"/>
      <w:numFmt w:val="lowerLetter"/>
      <w:lvlText w:val="%8"/>
      <w:lvlJc w:val="left"/>
      <w:pPr>
        <w:ind w:left="540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lvl w:ilvl="8" w:tplc="E604C4EA">
      <w:start w:val="1"/>
      <w:numFmt w:val="lowerRoman"/>
      <w:lvlText w:val="%9"/>
      <w:lvlJc w:val="left"/>
      <w:pPr>
        <w:ind w:left="6120"/>
      </w:pPr>
      <w:rPr>
        <w:rFonts w:ascii="Times New Roman" w:eastAsia="Times New Roman" w:hAnsi="Times New Roman" w:cs="Times New Roman"/>
        <w:b w:val="0"/>
        <w:i w:val="0"/>
        <w:strike w:val="0"/>
        <w:dstrike w:val="0"/>
        <w:color w:val="000000"/>
        <w:sz w:val="16"/>
        <w:u w:val="none" w:color="000000"/>
        <w:bdr w:val="none" w:sz="0" w:space="0" w:color="auto"/>
        <w:shd w:val="clear" w:color="auto" w:fill="auto"/>
        <w:vertAlign w:val="baseline"/>
      </w:rPr>
    </w:lvl>
  </w:abstractNum>
  <w:abstractNum w:abstractNumId="9">
    <w:nsid w:val="6F793E01"/>
    <w:multiLevelType w:val="hybridMultilevel"/>
    <w:tmpl w:val="F27E8086"/>
    <w:lvl w:ilvl="0" w:tplc="2A06A9E8">
      <w:start w:val="1"/>
      <w:numFmt w:val="decimal"/>
      <w:lvlText w:val="%1."/>
      <w:lvlJc w:val="left"/>
      <w:pPr>
        <w:ind w:left="1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1" w:tplc="9CF6F68A">
      <w:start w:val="1"/>
      <w:numFmt w:val="lowerLetter"/>
      <w:lvlText w:val="%2"/>
      <w:lvlJc w:val="left"/>
      <w:pPr>
        <w:ind w:left="10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2" w:tplc="A82C54F2">
      <w:start w:val="1"/>
      <w:numFmt w:val="lowerRoman"/>
      <w:lvlText w:val="%3"/>
      <w:lvlJc w:val="left"/>
      <w:pPr>
        <w:ind w:left="18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3" w:tplc="489E42F0">
      <w:start w:val="1"/>
      <w:numFmt w:val="decimal"/>
      <w:lvlText w:val="%4"/>
      <w:lvlJc w:val="left"/>
      <w:pPr>
        <w:ind w:left="25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4" w:tplc="710C38F4">
      <w:start w:val="1"/>
      <w:numFmt w:val="lowerLetter"/>
      <w:lvlText w:val="%5"/>
      <w:lvlJc w:val="left"/>
      <w:pPr>
        <w:ind w:left="324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5" w:tplc="3FEE1858">
      <w:start w:val="1"/>
      <w:numFmt w:val="lowerRoman"/>
      <w:lvlText w:val="%6"/>
      <w:lvlJc w:val="left"/>
      <w:pPr>
        <w:ind w:left="396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6" w:tplc="35485B4E">
      <w:start w:val="1"/>
      <w:numFmt w:val="decimal"/>
      <w:lvlText w:val="%7"/>
      <w:lvlJc w:val="left"/>
      <w:pPr>
        <w:ind w:left="468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7" w:tplc="197AD360">
      <w:start w:val="1"/>
      <w:numFmt w:val="lowerLetter"/>
      <w:lvlText w:val="%8"/>
      <w:lvlJc w:val="left"/>
      <w:pPr>
        <w:ind w:left="540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lvl w:ilvl="8" w:tplc="A262F1AC">
      <w:start w:val="1"/>
      <w:numFmt w:val="lowerRoman"/>
      <w:lvlText w:val="%9"/>
      <w:lvlJc w:val="left"/>
      <w:pPr>
        <w:ind w:left="6120"/>
      </w:pPr>
      <w:rPr>
        <w:rFonts w:ascii="Times New Roman" w:eastAsia="Times New Roman" w:hAnsi="Times New Roman" w:cs="Times New Roman"/>
        <w:b w:val="0"/>
        <w:i w:val="0"/>
        <w:strike w:val="0"/>
        <w:dstrike w:val="0"/>
        <w:color w:val="000000"/>
        <w:sz w:val="16"/>
        <w:u w:val="single" w:color="000000"/>
        <w:bdr w:val="none" w:sz="0" w:space="0" w:color="auto"/>
        <w:shd w:val="clear" w:color="auto" w:fill="auto"/>
        <w:vertAlign w:val="baseline"/>
      </w:rPr>
    </w:lvl>
  </w:abstractNum>
  <w:num w:numId="1">
    <w:abstractNumId w:val="4"/>
  </w:num>
  <w:num w:numId="2">
    <w:abstractNumId w:val="6"/>
  </w:num>
  <w:num w:numId="3">
    <w:abstractNumId w:val="3"/>
  </w:num>
  <w:num w:numId="4">
    <w:abstractNumId w:val="8"/>
  </w:num>
  <w:num w:numId="5">
    <w:abstractNumId w:val="9"/>
  </w:num>
  <w:num w:numId="6">
    <w:abstractNumId w:val="0"/>
  </w:num>
  <w:num w:numId="7">
    <w:abstractNumId w:val="7"/>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30"/>
    <w:rsid w:val="002460CB"/>
    <w:rsid w:val="004C6C64"/>
    <w:rsid w:val="00601520"/>
    <w:rsid w:val="006B49DA"/>
    <w:rsid w:val="00715E0C"/>
    <w:rsid w:val="007B7830"/>
    <w:rsid w:val="008D38E3"/>
    <w:rsid w:val="009077CB"/>
    <w:rsid w:val="00B042D2"/>
    <w:rsid w:val="00B2743E"/>
    <w:rsid w:val="00C35BF4"/>
    <w:rsid w:val="00CE05F7"/>
    <w:rsid w:val="00D138D9"/>
    <w:rsid w:val="00DD0366"/>
    <w:rsid w:val="00EE7D8B"/>
    <w:rsid w:val="00F8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B0827-2940-41E8-BA7C-AD1BD86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830"/>
    <w:pPr>
      <w:ind w:left="720"/>
      <w:contextualSpacing/>
    </w:pPr>
  </w:style>
  <w:style w:type="paragraph" w:styleId="Footer">
    <w:name w:val="footer"/>
    <w:basedOn w:val="Normal"/>
    <w:link w:val="FooterChar"/>
    <w:uiPriority w:val="99"/>
    <w:semiHidden/>
    <w:unhideWhenUsed/>
    <w:rsid w:val="007B78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7830"/>
  </w:style>
  <w:style w:type="paragraph" w:styleId="BalloonText">
    <w:name w:val="Balloon Text"/>
    <w:basedOn w:val="Normal"/>
    <w:link w:val="BalloonTextChar"/>
    <w:uiPriority w:val="99"/>
    <w:semiHidden/>
    <w:unhideWhenUsed/>
    <w:rsid w:val="00246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Lehner</dc:creator>
  <cp:keywords/>
  <dc:description/>
  <cp:lastModifiedBy>Merry Lehner</cp:lastModifiedBy>
  <cp:revision>8</cp:revision>
  <cp:lastPrinted>2017-08-09T14:29:00Z</cp:lastPrinted>
  <dcterms:created xsi:type="dcterms:W3CDTF">2017-08-09T13:34:00Z</dcterms:created>
  <dcterms:modified xsi:type="dcterms:W3CDTF">2017-08-10T14:07:00Z</dcterms:modified>
</cp:coreProperties>
</file>